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7A" w:rsidRDefault="00AF1BB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протоколом заседания Комиссии</w:t>
      </w:r>
    </w:p>
    <w:p w:rsidR="00A7097A" w:rsidRDefault="00AF1BB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соотечественниками за рубежом</w:t>
      </w:r>
    </w:p>
    <w:p w:rsidR="00A7097A" w:rsidRDefault="00AF1BBF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Правительстве Ханты-Мансийского</w:t>
      </w:r>
    </w:p>
    <w:p w:rsidR="00A7097A" w:rsidRDefault="00AF1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</w:t>
      </w:r>
    </w:p>
    <w:p w:rsidR="00A7097A" w:rsidRDefault="00AF1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 декабря 2023 года</w:t>
      </w:r>
    </w:p>
    <w:p w:rsidR="00A7097A" w:rsidRDefault="00A709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97A" w:rsidRDefault="00AF1B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сотрудничеству исполнительных органов Ханты-Мансийского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автономного округа – Югры, органов местного самоуправления, предприятий и организаций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Ханты-Мансийского автономного округа – Югры с соотечественниками, </w:t>
      </w:r>
      <w:r>
        <w:rPr>
          <w:rFonts w:ascii="Times New Roman" w:hAnsi="Times New Roman" w:cs="Times New Roman"/>
          <w:b/>
          <w:sz w:val="28"/>
          <w:szCs w:val="28"/>
        </w:rPr>
        <w:br/>
        <w:t>проживающими за рубежом, и их организациями на 2024 год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52"/>
        <w:gridCol w:w="1568"/>
        <w:gridCol w:w="5810"/>
        <w:gridCol w:w="3543"/>
      </w:tblGrid>
      <w:tr w:rsidR="00A7097A">
        <w:tc>
          <w:tcPr>
            <w:tcW w:w="675" w:type="dxa"/>
          </w:tcPr>
          <w:p w:rsidR="00A7097A" w:rsidRDefault="00AF1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2" w:type="dxa"/>
          </w:tcPr>
          <w:p w:rsidR="00A7097A" w:rsidRDefault="00AF1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8" w:type="dxa"/>
          </w:tcPr>
          <w:p w:rsidR="00A7097A" w:rsidRDefault="00AF1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A7097A" w:rsidRDefault="00A709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097A" w:rsidRDefault="00AF1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3" w:type="dxa"/>
          </w:tcPr>
          <w:p w:rsidR="00A7097A" w:rsidRDefault="00AF1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«Фольклор салымских хантов»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Нефтеюганского района «Межпоселенческая библиотека»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XXIII Сретенские образовательные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онлайн формате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Белоярского района «Белоярский методический центр»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24"/>
                <w:szCs w:val="24"/>
              </w:rPr>
              <w:t>Открытый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литературный конкурс «Когда звучит в тебе русское слово» в онлайн формате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по май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2024 года</w:t>
            </w:r>
          </w:p>
          <w:p w:rsidR="00A7097A" w:rsidRDefault="00A7097A">
            <w:pPr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муниципальное бюджетное учреждение культуры «Межпоселенческая библиотека Советского района»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дание дискуссионного клуба «Евразийское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женщин-региональных лидеров»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Всероссийского женского форума Совета Евразийского женского форума,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выставки-форума «Россия» (ВДНХ, г. Москва)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поддержке Совета Федерации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Собрания Российской Федерации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5 по 6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политики, гражданских инициатив и внешних связей Ханты-Мансийского автономного округа – Югры, Департамент внутренней политики Ханты-Мансийского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Югры, 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«Центр гражданских и социальных инициатив Югры»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согласованию), Фонд общественной дипломатии «Евразийское объединение женщин – региональных лидеров» (по согласованию)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научно-практическая конференция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Белоярского района, муниципальное автономное учреждение Белоярского района «Белоярский методический центр» 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Белоярского района, 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Международный нефтяной академический конгресс им. Ф.К. Салманова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spacing w:after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плана мероприятий 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Коммунальным государственным учреждением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«Северо-Казахстанская областная детско-юношеская библиотека имени Габита Мусрепова Управления культуры, развития языков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архивного дела Акимата Северо-Казахстанской области»</w:t>
            </w:r>
          </w:p>
          <w:p w:rsidR="00A7097A" w:rsidRDefault="00A7097A">
            <w:pPr>
              <w:shd w:val="clear" w:color="auto" w:fill="FFFFFF" w:themeFill="background1"/>
              <w:spacing w:after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ноябрь 2024 года 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Нефтеюганска, муниципальное бюджетное учреждение культуры «Городская библиотека»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семинара «Актуальные проблемы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перспективы развития социального проектирования «От идеи до проекта»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Лангепаса,</w:t>
            </w:r>
          </w:p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Лангепасское городское муниципальное учреждение  «Центр по работе с детьми и молодежью «Ф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ортуна»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«Реализация  государственной национальной политики и профилактики экстремизма»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открытка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30-летию библиотечной системы Нефтеюганского района 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Нефтеюганского района «Межпоселенческая библиотека»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8D55F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="00AF1BBF">
              <w:rPr>
                <w:rFonts w:ascii="Times New Roman" w:hAnsi="Times New Roman" w:cs="Times New Roman"/>
                <w:sz w:val="24"/>
                <w:szCs w:val="24"/>
              </w:rPr>
              <w:t xml:space="preserve"> рамках текущего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Онлайн концерт «Мост дружбы» в режиме телемоста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городская общественная организация татар «Культурно-просветительское общество «Ватан»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Онлайн конкурс чтецов стихотворений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«Язык мой – друг мой»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местная общественная организация «Содружество народов Югры»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посвящённые празднованию 250-летия Государственного академического Большого театра России.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май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города Нягани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приуроченный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единения народов Республики Беларусь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Российской Федерации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Сургута, муниципальное автономное образовательное учреждение дополнительного образования «Центр детского творчества»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Международный фестиваль-конкурс детского, юношеского  и взрослого творчества «ASTANA FEST» г.Астана Республики Казахстан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с 27 по 28 апреля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города Нягани,</w:t>
            </w:r>
          </w:p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учреждение культуры города Нягани «Городской культурный центр «Планета»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администрации города Нягани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бюджетного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 «Сургутский государственный университет» в совместных исследованиях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(г. Астана, Республика Казахстан)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апреля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 «Сургутский государственный университет»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Ханты-Мансийского автономного округа – Югры «Сургутский государственный университет»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VI международный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конкурс-фестиваль «Славянское Сваяцтва» г.Минск, Республика Беларусь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с 1 по 4 мая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города Нягани,</w:t>
            </w:r>
          </w:p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учреждение культуры города Нягани «Городской культурный центр «Планета»</w:t>
            </w:r>
          </w:p>
          <w:p w:rsidR="00A7097A" w:rsidRDefault="00A709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Администрации города Нягани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 ко Дню славянской письменности и культуры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города Нягани,</w:t>
            </w:r>
          </w:p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автономное образовательное учреждение культуры дополнительного образования города Нягани «Детская школа искусств»</w:t>
            </w:r>
          </w:p>
          <w:p w:rsidR="00A7097A" w:rsidRDefault="00A709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городской конкурс творческих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первым было слово…», приуроченный к Дню славянской письменности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Нефтеюганска,</w:t>
            </w:r>
          </w:p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им. В.В. Андреева»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хоровой фестиваль, посвященный Дню славянской письменности и культуры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города Нефтеюганска, </w:t>
            </w:r>
          </w:p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мероприятий Международного патриотического проекта «Север для Победы. Каждый для дела Мира», проведение Международной медиаэкспедиции «Победа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в наших сердцах»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в Монголию, Китайскую Народную Республику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по 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внутренней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округа – Югры,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Фонд «Центр гражданских и социальных инициатив Югры» (по согласованию)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приуроченные Пушкинскому дню России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7097A" w:rsidRDefault="00A7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города Нягани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Содействие участию представителей соотечественников в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Межнациональном  турнире по мини-футболу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региональная общественная 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Ханты-Мансийского автономного округа – Югры «Центр объединения  народов Азербайджана «Факел»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культурно-образовательной поездки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Ханты-Мансийский автономный округ – Югру для молодых соотечественников по программе «Здравствуй, Россия!»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сентябрь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Департамент молодежной политики, гражданских инициатив и внешних связей Ханты-Мансийского автономного округа – Югры, Департамент образования и науки Ханты-Мансийского автономного округа – Югры, Департамент культуры Ханты-Мансийского автономного округа – Юг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ры, Департамент экономического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Ханты-Мансийского автономного округа – Югры, Департамент промышленности Ханты-Мансийского автономного округа – Югры, Департамент физической культуры и спорта Ханты-Мансийского автономного округа – Югры, Департамент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внутренней политики Ханты-Мансийского автономного округа – Югры, Фонд «Центр гражданских и социальных инициатив Югры» (по согласованию)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«Новое поколение»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июня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 молодежной политики, гражданских инициатив и внешних связей Ханты-Мансийского автономного округа – Югры, Департамент информационных технологий и цифрового развития Ханты-Мансийского автономного округа – Югры, Департамент образования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ы-Мансийского автономного округа – Югры, Департамент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Югры, Департамент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Югры,  Департамент внутренней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автономного</w:t>
            </w:r>
          </w:p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Югры,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 «Окружная телерадиокомпания «Югра»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согласованию),</w:t>
            </w:r>
          </w:p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«Центр гражданских и социальных инициатив Югры» (по согласованию)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spacing w:after="153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spacing w:after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«Послушай сказку» 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spacing w:after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spacing w:after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spacing w:after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текущего финансирования 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выставка рисунков «В единстве наша сила»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Лангепаса,</w:t>
            </w:r>
          </w:p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учреждения города Лангепаса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полевой симпозиум «Западносибирские торфяники и цикл углерода: «Прошлое и настоящее» 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Конкурс-фестиваль художественного чтения «Синяя птица» в режиме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 период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с сентября по декабрь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«Межпоселенческая библиотека Советского района»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Заседание дискуссионного клуба «Евразийское объединение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женщин-региональных лидеров» на площадке Совета Евразийского женского форума при Совете Федерации Федерального Собрания Российской Федерации в г.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Санкт-Петербурге</w:t>
            </w:r>
          </w:p>
          <w:p w:rsidR="00A7097A" w:rsidRDefault="00A7097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 по 15 сентября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Департамент внутренней политики Ханты-Мансийского автономного округа – Югры, 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гражданских и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ьных инициатив Югры»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согласованию), Фонд общественной дипломатии «Евразийское объединение женщин – региональных лидеров» (по согласованию)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XI Общее собрание-выставка Российско -Кыргыз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ского консорциума технических университетов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Медиа-конкурс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«Герой своего времени»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творчеству М.Ю. Лермонтова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Нефтеюганского района «Межпоселенческая библиотека»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Виртуальный пресс-тур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Лангепасу для соотечественников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(цикл видеороликов)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квартал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Лангепаса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«Стратегические направления противодействия преступности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национальном и транснациональном уровне памяти профессора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С.А. Черноморца», конкурс научных работ по противодействию идеологии экстремизма и терроризма, конкурс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учных работ по противодействию коррупции 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вуза, грант Российского научного фонда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tabs>
                <w:tab w:val="right" w:pos="303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«V Международная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научно-практическая конференция «Перспективы развития современного образования»</w:t>
            </w:r>
          </w:p>
          <w:p w:rsidR="00A7097A" w:rsidRDefault="00AF1BBF">
            <w:pPr>
              <w:shd w:val="clear" w:color="auto" w:fill="FFFFFF" w:themeFill="background1"/>
              <w:tabs>
                <w:tab w:val="right" w:pos="303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представителей соотечественников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XIX Международном турнире по вольной борьбе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Нефтеюганского района, бюджетное учреждение Нефтеюганского района «Центр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культуры»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спорта» 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приуроченный к Дню учителя 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Сургута, муниципальное автономное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«Центр детского творчества»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Сургутского государственного университета в международной конференции «International Conference</w:t>
            </w:r>
            <w:r w:rsidRPr="008D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EXPO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of FFC- 19th International Symposium of ASFFBC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(Республика Армения)</w:t>
            </w:r>
          </w:p>
          <w:p w:rsidR="00A7097A" w:rsidRDefault="00A70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октября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Югры,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 «Сургутский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 «Сургутский государственный университет»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бюджетного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«Сургутский государственный университет»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8 Международно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научной конференции «Межкультурная коммуникация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профессионально-ориентированное обучение иностранным языкам»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(г. Минск, Республика Беларусь) 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октября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Ханты-Мансийского автономного округа – Югры,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 «Сургутский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Международный конкурс профессионального мастерства «Содружество молодых педагогов»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ноября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«Искусственный интеллект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роботизированные системы в образовании»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научно-практическая конференция «культура, наука, образование: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проблемы и перспективы»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«Все СВОИ»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города Нефтеюганска, </w:t>
            </w:r>
          </w:p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«Центр молодежных инициатив»</w:t>
            </w:r>
          </w:p>
          <w:p w:rsidR="00A7097A" w:rsidRDefault="00A709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патриотический форум «Катюша» при поддержке Совета Евразийского женского форума при Совете </w:t>
            </w:r>
          </w:p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 Федерального Собрания Российской Федерации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21 по 22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 молодежной политики, гражданских инициатив и внешних связей Ханты-Мансийского автономного округа – Югры, Департамента социального развития Ханты-Мансийского автономного округа – Югры, Департамент экономического развития Ханты-Мансийского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округа – Югры, Департамент информационных технологий и цифрового развития Ханты-Мансийского автономного округа – Югры, Департамент внутренней политики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Югры, Департамент здравоохранения Ханты-Мансийского автономн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округа – Югры, Департамент культуры Ханты-Мансийского автономного округа – Югры, Департамент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внутренней политики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 автономного округа – Югры,   Фонд «Центр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ражданских и социальных инициатив Югры» (по согласованию), органы местного самоуправления муниципальных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 согласованию)</w:t>
            </w:r>
          </w:p>
          <w:p w:rsidR="00A7097A" w:rsidRDefault="00A709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стажировочных мероприятий для соотечественников, проживающих за рубежом, знакомство с некоммерческим сектором Ханты-Мансийского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– Югры, стажировка в Фонде «Центр гражданских и социальных инициатив Югры»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«Центр гражданских и социальных инициатив Югры»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Фонда «Центр гражданских и социальных инициатив Югры»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муниципальный этап XXXII Международных образовательных Рождественских Чтений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Комитет по культуре Администрации Белоярского района, Белоярское благочиние Югорской Епархии Русской Православной Церкви, муниципальное автономное учреждение в сфере образования Белоярского района «Белоярский методический центр»</w:t>
            </w:r>
          </w:p>
          <w:p w:rsidR="00A7097A" w:rsidRDefault="00A709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 Белоярского района, внебюджетные источники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товарищеского, шахматного турнира с обучающимися международной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Ташкента Республики Узбекистан</w:t>
            </w:r>
          </w:p>
          <w:p w:rsidR="00A7097A" w:rsidRDefault="00A7097A">
            <w:pPr>
              <w:shd w:val="clear" w:color="auto" w:fill="FFFFFF" w:themeFill="background1"/>
            </w:pP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>тдел оценки качества и общего образования Управления образования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Администрации города Югорска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проектный семинар «Финно-угорский вектор к креативной экономике», конкурс студенческих, школьных научно-исследовательских работ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«Стратегии межкультурной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современном мире: язык, образование, культура»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 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проекта «Неделя русского языка»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в зарубежных государствах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политики, гражданских инициатив и внешних связей Ханты-Мансийского автономного округа – Югры,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Департамент образования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автономного округа – Югры,</w:t>
            </w:r>
          </w:p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внутренней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автономного</w:t>
            </w:r>
          </w:p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Югры,  бюджетное учреждение высшего образования Ханты-Мансийского автономного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– Югры «Сургутский государственный педагогический университет» (по согласованию), федеральное государственное бюджетное образовательное учреждение высшего образования «Югорский государственный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согласованию), бюджетное учреждение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сшего образования Ханты-Мансийского автономного округа – Югры «Сургутский государственный университет» (по согласованию), федеральное государственное бюджетное образовательное учреждение высшего образования «Нижневартовский государственный университет»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согласованию), бюджетное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Югра «Ханты-Мансийская государственная медицинская академия» (по согласованию),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«Обско-угорс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институт прикладных исследований и разработок» (по согласованию),</w:t>
            </w:r>
          </w:p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«Центр гражданских и социальных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инициатив Югры» (по согласованию)</w:t>
            </w:r>
          </w:p>
          <w:p w:rsidR="00A7097A" w:rsidRDefault="00A709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hAnsi="Times New Roman" w:cs="Times New Roman"/>
                <w:sz w:val="24"/>
                <w:szCs w:val="24"/>
              </w:rPr>
              <w:t>бюджет 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Сургутского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университета выставке для специалистов нефтегазового сектора каспийского региона KIOGE (г. Алматы, Республика Казахстан)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декабря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Департамент образования и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Ханты-Мансийского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автономного округа – Югры, бюджетное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Ханты-Мансийского автономного округа – Югры «Сургутский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Ханты-Мансийского автономного округа – Югры «Сург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утский государственный университет»</w:t>
            </w:r>
          </w:p>
        </w:tc>
      </w:tr>
      <w:tr w:rsidR="00A7097A">
        <w:trPr>
          <w:trHeight w:val="3318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онлайн-презентации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«Нижневартовский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странах СНГ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Сетевая форма реализации образовательной программы,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Нарынский государственный университет, направление подготовки «Педагогическое образование», (профиль: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начальное образование)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совместной образовательной программы с Ошским технологическим университетом университетом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(Кыргызская Республика), направление подготовки «Электроэнергетика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 электротехника»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совместной образовательной программы с Нарынским государственным университетом (Кыргызская Республика), направление подготовки «Электроэнергетика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и электротехника»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«Нижневартовский государственный университет»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внебюджетные средства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Проведение презентации образовательного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Ханты-Мансийского автономного округа – Югры в странах СНГ</w:t>
            </w: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Департамент труда и занятости Ханты-Мансийского автономного округа – Югры, Департамент молодежной политики, гражданских инициатив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и внешних связей Ханты-Мансийского автономного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округа – Югры, Департамент образования и науки Ханты-Мансийского автономного округа – Югры,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Департамент внутренней политики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Ханты-Мансийского автономного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 xml:space="preserve">округа – Югры, Фонд «Центр гражданских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и социальных инициатив Югры» (по согласованию)</w:t>
            </w:r>
          </w:p>
          <w:p w:rsidR="00A7097A" w:rsidRDefault="00A7097A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Ханты-Мансийского автономного округа – Югры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мероприятиях по линии Россотрудничества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«Югорский государственный университет»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соотечественников к обучению в университете. Участие университета в образовательных выставках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«Югорский государственный университе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т» 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университета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библиотечный проект «Белый город – Белая Русь: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«Литературный транзит»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</w:tr>
      <w:tr w:rsidR="00A7097A">
        <w:trPr>
          <w:trHeight w:val="509"/>
        </w:trPr>
        <w:tc>
          <w:tcPr>
            <w:tcW w:w="675" w:type="dxa"/>
            <w:vMerge w:val="restart"/>
          </w:tcPr>
          <w:p w:rsidR="00A7097A" w:rsidRDefault="00A7097A">
            <w:pPr>
              <w:pStyle w:val="af7"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действующих международных Соглашений между муниципальным образованием 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оярский район Ханты-Мансийского автономного округа – Югры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городом Витебском Республики Беларусь</w:t>
            </w:r>
          </w:p>
          <w:p w:rsidR="00A7097A" w:rsidRDefault="00A7097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shd w:val="clear" w:color="FFFFFF" w:fill="FFFFFF" w:themeFill="background1"/>
          </w:tcPr>
          <w:p w:rsidR="00A7097A" w:rsidRDefault="00AF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2026 год</w:t>
            </w:r>
          </w:p>
        </w:tc>
        <w:tc>
          <w:tcPr>
            <w:tcW w:w="5810" w:type="dxa"/>
            <w:vMerge w:val="restart"/>
            <w:shd w:val="clear" w:color="FFFFFF" w:fill="FFFFFF" w:themeFill="background1"/>
          </w:tcPr>
          <w:p w:rsidR="00A7097A" w:rsidRDefault="00AF1B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Белоярского района, 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сфере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Белоярского района «Белоярский методический центр»</w:t>
            </w:r>
          </w:p>
        </w:tc>
        <w:tc>
          <w:tcPr>
            <w:tcW w:w="3543" w:type="dxa"/>
            <w:vMerge w:val="restart"/>
            <w:shd w:val="clear" w:color="FFFFFF" w:fill="FFFFFF" w:themeFill="background1"/>
          </w:tcPr>
          <w:p w:rsidR="00A7097A" w:rsidRDefault="00AF1BB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</w:tbl>
    <w:p w:rsidR="00A7097A" w:rsidRDefault="00A7097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A7097A">
      <w:headerReference w:type="default" r:id="rId7"/>
      <w:headerReference w:type="first" r:id="rId8"/>
      <w:footerReference w:type="firs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BF" w:rsidRDefault="00AF1BBF">
      <w:pPr>
        <w:spacing w:after="0" w:line="240" w:lineRule="auto"/>
      </w:pPr>
      <w:r>
        <w:separator/>
      </w:r>
    </w:p>
  </w:endnote>
  <w:endnote w:type="continuationSeparator" w:id="0">
    <w:p w:rsidR="00AF1BBF" w:rsidRDefault="00A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7A" w:rsidRDefault="00A709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BF" w:rsidRDefault="00AF1BBF">
      <w:pPr>
        <w:spacing w:after="0" w:line="240" w:lineRule="auto"/>
      </w:pPr>
      <w:r>
        <w:separator/>
      </w:r>
    </w:p>
  </w:footnote>
  <w:footnote w:type="continuationSeparator" w:id="0">
    <w:p w:rsidR="00AF1BBF" w:rsidRDefault="00A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7A" w:rsidRDefault="00AF1BBF">
    <w:pPr>
      <w:pStyle w:val="af9"/>
      <w:jc w:val="center"/>
    </w:pPr>
    <w:r>
      <w:fldChar w:fldCharType="begin"/>
    </w:r>
    <w:r>
      <w:instrText>PAGE \* MERGEFORMAT</w:instrText>
    </w:r>
    <w:r>
      <w:fldChar w:fldCharType="separate"/>
    </w:r>
    <w:r w:rsidR="008D55F3">
      <w:rPr>
        <w:noProof/>
      </w:rPr>
      <w:t>7</w:t>
    </w:r>
    <w:r>
      <w:fldChar w:fldCharType="end"/>
    </w:r>
  </w:p>
  <w:p w:rsidR="00A7097A" w:rsidRDefault="00A7097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7A" w:rsidRDefault="00A7097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26"/>
    <w:multiLevelType w:val="hybridMultilevel"/>
    <w:tmpl w:val="A336FDA8"/>
    <w:lvl w:ilvl="0" w:tplc="C3BCA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9E9DBA">
      <w:start w:val="1"/>
      <w:numFmt w:val="lowerLetter"/>
      <w:lvlText w:val="%2."/>
      <w:lvlJc w:val="left"/>
      <w:pPr>
        <w:ind w:left="1440" w:hanging="360"/>
      </w:pPr>
    </w:lvl>
    <w:lvl w:ilvl="2" w:tplc="5E5435FC">
      <w:start w:val="1"/>
      <w:numFmt w:val="lowerRoman"/>
      <w:lvlText w:val="%3."/>
      <w:lvlJc w:val="right"/>
      <w:pPr>
        <w:ind w:left="2160" w:hanging="180"/>
      </w:pPr>
    </w:lvl>
    <w:lvl w:ilvl="3" w:tplc="65CCE36C">
      <w:start w:val="1"/>
      <w:numFmt w:val="decimal"/>
      <w:lvlText w:val="%4."/>
      <w:lvlJc w:val="left"/>
      <w:pPr>
        <w:ind w:left="2880" w:hanging="360"/>
      </w:pPr>
    </w:lvl>
    <w:lvl w:ilvl="4" w:tplc="36966F4C">
      <w:start w:val="1"/>
      <w:numFmt w:val="lowerLetter"/>
      <w:lvlText w:val="%5."/>
      <w:lvlJc w:val="left"/>
      <w:pPr>
        <w:ind w:left="3600" w:hanging="360"/>
      </w:pPr>
    </w:lvl>
    <w:lvl w:ilvl="5" w:tplc="173C99A0">
      <w:start w:val="1"/>
      <w:numFmt w:val="lowerRoman"/>
      <w:lvlText w:val="%6."/>
      <w:lvlJc w:val="right"/>
      <w:pPr>
        <w:ind w:left="4320" w:hanging="180"/>
      </w:pPr>
    </w:lvl>
    <w:lvl w:ilvl="6" w:tplc="0A942D14">
      <w:start w:val="1"/>
      <w:numFmt w:val="decimal"/>
      <w:lvlText w:val="%7."/>
      <w:lvlJc w:val="left"/>
      <w:pPr>
        <w:ind w:left="5040" w:hanging="360"/>
      </w:pPr>
    </w:lvl>
    <w:lvl w:ilvl="7" w:tplc="D6E22F1C">
      <w:start w:val="1"/>
      <w:numFmt w:val="lowerLetter"/>
      <w:lvlText w:val="%8."/>
      <w:lvlJc w:val="left"/>
      <w:pPr>
        <w:ind w:left="5760" w:hanging="360"/>
      </w:pPr>
    </w:lvl>
    <w:lvl w:ilvl="8" w:tplc="9E8266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415A"/>
    <w:multiLevelType w:val="hybridMultilevel"/>
    <w:tmpl w:val="C2E6AEA4"/>
    <w:lvl w:ilvl="0" w:tplc="6BEA5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728776">
      <w:start w:val="1"/>
      <w:numFmt w:val="lowerLetter"/>
      <w:lvlText w:val="%2."/>
      <w:lvlJc w:val="left"/>
      <w:pPr>
        <w:ind w:left="1440" w:hanging="360"/>
      </w:pPr>
    </w:lvl>
    <w:lvl w:ilvl="2" w:tplc="3342E098">
      <w:start w:val="1"/>
      <w:numFmt w:val="lowerRoman"/>
      <w:lvlText w:val="%3."/>
      <w:lvlJc w:val="right"/>
      <w:pPr>
        <w:ind w:left="2160" w:hanging="180"/>
      </w:pPr>
    </w:lvl>
    <w:lvl w:ilvl="3" w:tplc="D5188268">
      <w:start w:val="1"/>
      <w:numFmt w:val="decimal"/>
      <w:lvlText w:val="%4."/>
      <w:lvlJc w:val="left"/>
      <w:pPr>
        <w:ind w:left="2880" w:hanging="360"/>
      </w:pPr>
    </w:lvl>
    <w:lvl w:ilvl="4" w:tplc="3778797A">
      <w:start w:val="1"/>
      <w:numFmt w:val="lowerLetter"/>
      <w:lvlText w:val="%5."/>
      <w:lvlJc w:val="left"/>
      <w:pPr>
        <w:ind w:left="3600" w:hanging="360"/>
      </w:pPr>
    </w:lvl>
    <w:lvl w:ilvl="5" w:tplc="A2DA186C">
      <w:start w:val="1"/>
      <w:numFmt w:val="lowerRoman"/>
      <w:lvlText w:val="%6."/>
      <w:lvlJc w:val="right"/>
      <w:pPr>
        <w:ind w:left="4320" w:hanging="180"/>
      </w:pPr>
    </w:lvl>
    <w:lvl w:ilvl="6" w:tplc="3A228E8C">
      <w:start w:val="1"/>
      <w:numFmt w:val="decimal"/>
      <w:lvlText w:val="%7."/>
      <w:lvlJc w:val="left"/>
      <w:pPr>
        <w:ind w:left="5040" w:hanging="360"/>
      </w:pPr>
    </w:lvl>
    <w:lvl w:ilvl="7" w:tplc="FB4AE0BA">
      <w:start w:val="1"/>
      <w:numFmt w:val="lowerLetter"/>
      <w:lvlText w:val="%8."/>
      <w:lvlJc w:val="left"/>
      <w:pPr>
        <w:ind w:left="5760" w:hanging="360"/>
      </w:pPr>
    </w:lvl>
    <w:lvl w:ilvl="8" w:tplc="E91EBE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F1D"/>
    <w:multiLevelType w:val="hybridMultilevel"/>
    <w:tmpl w:val="B71422FE"/>
    <w:lvl w:ilvl="0" w:tplc="C242145E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D0525AE0">
      <w:start w:val="1"/>
      <w:numFmt w:val="lowerLetter"/>
      <w:lvlText w:val="%2."/>
      <w:lvlJc w:val="left"/>
      <w:pPr>
        <w:ind w:left="1429" w:hanging="360"/>
      </w:pPr>
    </w:lvl>
    <w:lvl w:ilvl="2" w:tplc="A2C83EE4">
      <w:start w:val="1"/>
      <w:numFmt w:val="lowerRoman"/>
      <w:lvlText w:val="%3."/>
      <w:lvlJc w:val="right"/>
      <w:pPr>
        <w:ind w:left="2149" w:hanging="180"/>
      </w:pPr>
    </w:lvl>
    <w:lvl w:ilvl="3" w:tplc="FE8AA000">
      <w:start w:val="1"/>
      <w:numFmt w:val="decimal"/>
      <w:lvlText w:val="%4."/>
      <w:lvlJc w:val="left"/>
      <w:pPr>
        <w:ind w:left="2869" w:hanging="360"/>
      </w:pPr>
    </w:lvl>
    <w:lvl w:ilvl="4" w:tplc="A342923C">
      <w:start w:val="1"/>
      <w:numFmt w:val="lowerLetter"/>
      <w:lvlText w:val="%5."/>
      <w:lvlJc w:val="left"/>
      <w:pPr>
        <w:ind w:left="3589" w:hanging="360"/>
      </w:pPr>
    </w:lvl>
    <w:lvl w:ilvl="5" w:tplc="74EE3A2E">
      <w:start w:val="1"/>
      <w:numFmt w:val="lowerRoman"/>
      <w:lvlText w:val="%6."/>
      <w:lvlJc w:val="right"/>
      <w:pPr>
        <w:ind w:left="4309" w:hanging="180"/>
      </w:pPr>
    </w:lvl>
    <w:lvl w:ilvl="6" w:tplc="660412E2">
      <w:start w:val="1"/>
      <w:numFmt w:val="decimal"/>
      <w:lvlText w:val="%7."/>
      <w:lvlJc w:val="left"/>
      <w:pPr>
        <w:ind w:left="5029" w:hanging="360"/>
      </w:pPr>
    </w:lvl>
    <w:lvl w:ilvl="7" w:tplc="D204871E">
      <w:start w:val="1"/>
      <w:numFmt w:val="lowerLetter"/>
      <w:lvlText w:val="%8."/>
      <w:lvlJc w:val="left"/>
      <w:pPr>
        <w:ind w:left="5749" w:hanging="360"/>
      </w:pPr>
    </w:lvl>
    <w:lvl w:ilvl="8" w:tplc="142C4A8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7F1E78AD"/>
    <w:multiLevelType w:val="hybridMultilevel"/>
    <w:tmpl w:val="C4125996"/>
    <w:lvl w:ilvl="0" w:tplc="4BD21718">
      <w:start w:val="1"/>
      <w:numFmt w:val="decimal"/>
      <w:lvlText w:val="%1."/>
      <w:lvlJc w:val="left"/>
      <w:pPr>
        <w:ind w:left="709" w:hanging="360"/>
      </w:pPr>
    </w:lvl>
    <w:lvl w:ilvl="1" w:tplc="42F87B7E">
      <w:start w:val="1"/>
      <w:numFmt w:val="lowerLetter"/>
      <w:lvlText w:val="%2."/>
      <w:lvlJc w:val="left"/>
      <w:pPr>
        <w:ind w:left="1429" w:hanging="360"/>
      </w:pPr>
    </w:lvl>
    <w:lvl w:ilvl="2" w:tplc="2786AF0E">
      <w:start w:val="1"/>
      <w:numFmt w:val="lowerRoman"/>
      <w:lvlText w:val="%3."/>
      <w:lvlJc w:val="right"/>
      <w:pPr>
        <w:ind w:left="2149" w:hanging="180"/>
      </w:pPr>
    </w:lvl>
    <w:lvl w:ilvl="3" w:tplc="3B489C48">
      <w:start w:val="1"/>
      <w:numFmt w:val="decimal"/>
      <w:lvlText w:val="%4."/>
      <w:lvlJc w:val="left"/>
      <w:pPr>
        <w:ind w:left="2869" w:hanging="360"/>
      </w:pPr>
    </w:lvl>
    <w:lvl w:ilvl="4" w:tplc="0A3036B6">
      <w:start w:val="1"/>
      <w:numFmt w:val="lowerLetter"/>
      <w:lvlText w:val="%5."/>
      <w:lvlJc w:val="left"/>
      <w:pPr>
        <w:ind w:left="3589" w:hanging="360"/>
      </w:pPr>
    </w:lvl>
    <w:lvl w:ilvl="5" w:tplc="46B61CA0">
      <w:start w:val="1"/>
      <w:numFmt w:val="lowerRoman"/>
      <w:lvlText w:val="%6."/>
      <w:lvlJc w:val="right"/>
      <w:pPr>
        <w:ind w:left="4309" w:hanging="180"/>
      </w:pPr>
    </w:lvl>
    <w:lvl w:ilvl="6" w:tplc="740E9618">
      <w:start w:val="1"/>
      <w:numFmt w:val="decimal"/>
      <w:lvlText w:val="%7."/>
      <w:lvlJc w:val="left"/>
      <w:pPr>
        <w:ind w:left="5029" w:hanging="360"/>
      </w:pPr>
    </w:lvl>
    <w:lvl w:ilvl="7" w:tplc="7FFA19F2">
      <w:start w:val="1"/>
      <w:numFmt w:val="lowerLetter"/>
      <w:lvlText w:val="%8."/>
      <w:lvlJc w:val="left"/>
      <w:pPr>
        <w:ind w:left="5749" w:hanging="360"/>
      </w:pPr>
    </w:lvl>
    <w:lvl w:ilvl="8" w:tplc="DC228CB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7A"/>
    <w:rsid w:val="008D55F3"/>
    <w:rsid w:val="00A7097A"/>
    <w:rsid w:val="00A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AA78A-4D41-4A19-BEF1-BC7D160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character" w:customStyle="1" w:styleId="af8">
    <w:name w:val="Абзац списка Знак"/>
    <w:link w:val="af7"/>
    <w:uiPriority w:val="34"/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3380</Words>
  <Characters>19271</Characters>
  <Application>Microsoft Office Word</Application>
  <DocSecurity>0</DocSecurity>
  <Lines>160</Lines>
  <Paragraphs>45</Paragraphs>
  <ScaleCrop>false</ScaleCrop>
  <Company/>
  <LinksUpToDate>false</LinksUpToDate>
  <CharactersWithSpaces>22606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Владислав Сергеевич</dc:creator>
  <cp:keywords/>
  <dc:description/>
  <cp:lastModifiedBy>Кузнецов Сергей Александрович</cp:lastModifiedBy>
  <cp:revision>17</cp:revision>
  <dcterms:created xsi:type="dcterms:W3CDTF">2022-12-23T04:55:00Z</dcterms:created>
  <dcterms:modified xsi:type="dcterms:W3CDTF">2024-02-21T11:47:00Z</dcterms:modified>
</cp:coreProperties>
</file>